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7FC9" w14:textId="77777777" w:rsidR="00236663" w:rsidRDefault="00000000">
      <w:pPr>
        <w:pStyle w:val="Ttulo1"/>
      </w:pPr>
      <w:r>
        <w:rPr>
          <w:rFonts w:ascii="Arial" w:hAnsi="Arial"/>
          <w:color w:val="1F4E5F"/>
          <w:sz w:val="34"/>
        </w:rPr>
        <w:t>Bibliografía revisada — sedestación en parálisis cerebral</w:t>
      </w:r>
    </w:p>
    <w:p w14:paraId="76DDE527" w14:textId="77777777" w:rsidR="00236663" w:rsidRDefault="00000000">
      <w:pPr>
        <w:pStyle w:val="Ttulo2"/>
      </w:pPr>
      <w:proofErr w:type="spellStart"/>
      <w:r>
        <w:rPr>
          <w:rFonts w:ascii="Arial" w:hAnsi="Arial"/>
          <w:color w:val="2F6F68"/>
        </w:rPr>
        <w:t>Artículos</w:t>
      </w:r>
      <w:proofErr w:type="spellEnd"/>
      <w:r>
        <w:rPr>
          <w:rFonts w:ascii="Arial" w:hAnsi="Arial"/>
          <w:color w:val="2F6F68"/>
        </w:rPr>
        <w:t xml:space="preserve"> </w:t>
      </w:r>
      <w:proofErr w:type="spellStart"/>
      <w:r>
        <w:rPr>
          <w:rFonts w:ascii="Arial" w:hAnsi="Arial"/>
          <w:color w:val="2F6F68"/>
        </w:rPr>
        <w:t>científicos</w:t>
      </w:r>
      <w:proofErr w:type="spellEnd"/>
      <w:r>
        <w:rPr>
          <w:rFonts w:ascii="Arial" w:hAnsi="Arial"/>
          <w:color w:val="2F6F68"/>
        </w:rPr>
        <w:t xml:space="preserve">, </w:t>
      </w:r>
      <w:proofErr w:type="spellStart"/>
      <w:r>
        <w:rPr>
          <w:rFonts w:ascii="Arial" w:hAnsi="Arial"/>
          <w:color w:val="2F6F68"/>
        </w:rPr>
        <w:t>libros</w:t>
      </w:r>
      <w:proofErr w:type="spellEnd"/>
      <w:r>
        <w:rPr>
          <w:rFonts w:ascii="Arial" w:hAnsi="Arial"/>
          <w:color w:val="2F6F68"/>
        </w:rPr>
        <w:t xml:space="preserve"> y capítulos</w:t>
      </w:r>
    </w:p>
    <w:p w14:paraId="39ACF956" w14:textId="11E8C23E" w:rsidR="00236663" w:rsidRDefault="00000000">
      <w:pPr>
        <w:spacing w:after="180"/>
        <w:ind w:left="440" w:hanging="440"/>
      </w:pPr>
      <w:r>
        <w:rPr>
          <w:b/>
        </w:rPr>
        <w:t xml:space="preserve">1. </w:t>
      </w:r>
      <w:r>
        <w:t>Vergara M. Evaluación ergonómica de las sillas: criterios de evaluación basados en el análisis de la postura [tesis doctoral]. Valencia: Universidad de Valencia, Ingeniería Industrial; 1998</w:t>
      </w:r>
    </w:p>
    <w:p w14:paraId="3BE62EEF" w14:textId="29706F62" w:rsidR="00236663" w:rsidRDefault="00000000">
      <w:pPr>
        <w:spacing w:after="180"/>
        <w:ind w:left="440" w:hanging="440"/>
      </w:pPr>
      <w:r>
        <w:rPr>
          <w:b/>
        </w:rPr>
        <w:t xml:space="preserve">2. </w:t>
      </w:r>
      <w:r>
        <w:t>García Díez E, Capablo Mañas B. Valoración y estudio de las deformidades ortopédicas en personas con parálisis cerebral. Fisioterapia. 1999;21(1):10-19.</w:t>
      </w:r>
      <w:r>
        <w:rPr>
          <w:i/>
          <w:color w:val="B55E00"/>
          <w:sz w:val="20"/>
        </w:rPr>
        <w:t xml:space="preserve"> </w:t>
      </w:r>
    </w:p>
    <w:p w14:paraId="08A366BC" w14:textId="6FD78C48" w:rsidR="00236663" w:rsidRDefault="00000000">
      <w:pPr>
        <w:spacing w:after="180"/>
        <w:ind w:left="440" w:hanging="440"/>
      </w:pPr>
      <w:r>
        <w:rPr>
          <w:b/>
        </w:rPr>
        <w:t xml:space="preserve">3. </w:t>
      </w:r>
      <w:r>
        <w:t xml:space="preserve">Póo Argüelles P. Parálisis cerebral infantil. En: Protocolos diagnóstico-terapéuticos de la AEP: Neurología pediátrica. 2.ª ed. Madrid: Asociación Española de Pediatría; 2008. p.271-277. </w:t>
      </w:r>
      <w:hyperlink r:id="rId6">
        <w:r>
          <w:rPr>
            <w:color w:val="1F4E5F"/>
            <w:sz w:val="19"/>
            <w:u w:val="single"/>
          </w:rPr>
          <w:t xml:space="preserve">Ver </w:t>
        </w:r>
        <w:proofErr w:type="spellStart"/>
        <w:r>
          <w:rPr>
            <w:color w:val="1F4E5F"/>
            <w:sz w:val="19"/>
            <w:u w:val="single"/>
          </w:rPr>
          <w:t>protocolo</w:t>
        </w:r>
        <w:proofErr w:type="spellEnd"/>
      </w:hyperlink>
      <w:r>
        <w:rPr>
          <w:i/>
          <w:color w:val="B55E00"/>
          <w:sz w:val="20"/>
        </w:rPr>
        <w:t xml:space="preserve"> </w:t>
      </w:r>
    </w:p>
    <w:p w14:paraId="7FA900F3" w14:textId="3B2D8744" w:rsidR="00236663" w:rsidRDefault="00000000">
      <w:pPr>
        <w:spacing w:after="180"/>
        <w:ind w:left="440" w:hanging="440"/>
      </w:pPr>
      <w:r>
        <w:rPr>
          <w:b/>
        </w:rPr>
        <w:t xml:space="preserve">4. </w:t>
      </w:r>
      <w:r>
        <w:t>Martínez Labuena R. Sedestación en la parálisis cerebral: una ayuda técnica [trabajo fin de grado]. Zaragoza: Universidad de Zaragoza, Escuela Universitaria de Ciencias de la Salud; 2012</w:t>
      </w:r>
    </w:p>
    <w:p w14:paraId="1196757F" w14:textId="5CAAFEC3" w:rsidR="00236663" w:rsidRDefault="00000000">
      <w:pPr>
        <w:spacing w:after="180"/>
        <w:ind w:left="440" w:hanging="440"/>
      </w:pPr>
      <w:r>
        <w:rPr>
          <w:b/>
        </w:rPr>
        <w:t xml:space="preserve">5. </w:t>
      </w:r>
      <w:r>
        <w:t>Portell Sandevila E. Sedestación y posición en el paciente espástico. En: García Fco J, coordinador. Evaluación clínica y tratamiento de la espasticidad. Madrid: Editorial Médica Panamericana; 2009. p.54-58</w:t>
      </w:r>
    </w:p>
    <w:p w14:paraId="54264F7E" w14:textId="26FC6E7C" w:rsidR="00236663" w:rsidRDefault="00000000">
      <w:pPr>
        <w:spacing w:after="180"/>
        <w:ind w:left="440" w:hanging="440"/>
      </w:pPr>
      <w:r>
        <w:rPr>
          <w:b/>
        </w:rPr>
        <w:t xml:space="preserve">6. </w:t>
      </w:r>
      <w:r>
        <w:t xml:space="preserve">Gil Agudo AM, Fernández-Bravo Martín C, García Ruisánchez MJ. Adaptación de la silla de ruedas a una persona con parálisis cerebral. Rehabilitación (Madr). 2003;37(5):256-263. </w:t>
      </w:r>
    </w:p>
    <w:p w14:paraId="5CC4841E" w14:textId="77777777" w:rsidR="00236663" w:rsidRDefault="00000000">
      <w:pPr>
        <w:spacing w:after="180"/>
        <w:ind w:left="440" w:hanging="440"/>
      </w:pPr>
      <w:r>
        <w:rPr>
          <w:b/>
        </w:rPr>
        <w:t xml:space="preserve">7. </w:t>
      </w:r>
      <w:r>
        <w:t>Matías Clavero G, López Galiacho JL, Delgado Acedo M, Martínez Marqués J. Libro blanco de la prestación ortoprotésica. Madrid: FEDOP, CERMI; 2012.</w:t>
      </w:r>
    </w:p>
    <w:p w14:paraId="7A0D4996" w14:textId="3D275740" w:rsidR="00236663" w:rsidRDefault="00000000">
      <w:pPr>
        <w:spacing w:after="180"/>
        <w:ind w:left="440" w:hanging="440"/>
      </w:pPr>
      <w:r>
        <w:rPr>
          <w:b/>
        </w:rPr>
        <w:t xml:space="preserve">8. </w:t>
      </w:r>
      <w:r>
        <w:t xml:space="preserve">Pérez-de la Cruz S. Parálisis cerebral infantil y el uso de sistemas de posicionamiento para el control postural: estado actual del arte. Neurología. 2017;32(9):610-615. </w:t>
      </w:r>
      <w:hyperlink r:id="rId7">
        <w:r>
          <w:rPr>
            <w:color w:val="1F4E5F"/>
            <w:sz w:val="19"/>
            <w:u w:val="single"/>
          </w:rPr>
          <w:t>Ver artículo</w:t>
        </w:r>
      </w:hyperlink>
      <w:r>
        <w:rPr>
          <w:i/>
          <w:color w:val="B55E00"/>
          <w:sz w:val="20"/>
        </w:rPr>
        <w:t xml:space="preserve"> </w:t>
      </w:r>
    </w:p>
    <w:p w14:paraId="6ACD05C3" w14:textId="294B01AD" w:rsidR="00236663" w:rsidRDefault="00000000">
      <w:pPr>
        <w:spacing w:after="180"/>
        <w:ind w:left="440" w:hanging="440"/>
      </w:pPr>
      <w:r>
        <w:rPr>
          <w:b/>
        </w:rPr>
        <w:t xml:space="preserve">9. </w:t>
      </w:r>
      <w:r>
        <w:t>Andrades Sandín LM. Influencia del asiento modelado pélvico y del programa de bipedestación en el niño con PCI [trabajo fin de grado]. Zaragoza: Universidad de Zaragoza; 2012.</w:t>
      </w:r>
      <w:r>
        <w:rPr>
          <w:i/>
          <w:color w:val="B55E00"/>
          <w:sz w:val="20"/>
        </w:rPr>
        <w:t xml:space="preserve"> </w:t>
      </w:r>
    </w:p>
    <w:p w14:paraId="5662F6DC" w14:textId="3D8C1201" w:rsidR="00236663" w:rsidRDefault="00000000">
      <w:pPr>
        <w:spacing w:after="180"/>
        <w:ind w:left="440" w:hanging="440"/>
      </w:pPr>
      <w:r>
        <w:rPr>
          <w:b/>
        </w:rPr>
        <w:t xml:space="preserve">10. </w:t>
      </w:r>
      <w:r>
        <w:t>Chung J, Evans J, Lee C, Lee J, Rabbani Y, Roxborough L, Harris SR. Effectiveness of adaptive seating on sitting posture and postural control in children with cerebral palsy. Pediatr Phys Ther. 2008;20(4):303-317</w:t>
      </w:r>
    </w:p>
    <w:p w14:paraId="2DA53ADA" w14:textId="77777777" w:rsidR="00236663" w:rsidRDefault="00000000">
      <w:pPr>
        <w:spacing w:after="180"/>
        <w:ind w:left="440" w:hanging="440"/>
      </w:pPr>
      <w:r>
        <w:rPr>
          <w:b/>
        </w:rPr>
        <w:t xml:space="preserve">11. </w:t>
      </w:r>
      <w:r>
        <w:t>Stavness C. The effect of positioning for children with cerebral palsy on upper-extremity function. Phys Occup Ther Pediatr. 2006;26(3):39-53.</w:t>
      </w:r>
    </w:p>
    <w:p w14:paraId="36CF8A5F" w14:textId="419B8721" w:rsidR="00236663" w:rsidRDefault="00000000">
      <w:pPr>
        <w:spacing w:after="180"/>
        <w:ind w:left="440" w:hanging="440"/>
      </w:pPr>
      <w:r>
        <w:rPr>
          <w:b/>
        </w:rPr>
        <w:lastRenderedPageBreak/>
        <w:t xml:space="preserve">12. </w:t>
      </w:r>
      <w:r>
        <w:t>De Luca M. Postura y alimentación: estudio de un caso único de niña con parálisis cerebral [trabajo fin de grado]. Santiago de Chile: Universidad Abierto Iberoamericana; 2010</w:t>
      </w:r>
    </w:p>
    <w:p w14:paraId="52FC3BCC" w14:textId="77777777" w:rsidR="00236663" w:rsidRDefault="00000000">
      <w:pPr>
        <w:spacing w:after="180"/>
        <w:ind w:left="440" w:hanging="440"/>
      </w:pPr>
      <w:r>
        <w:rPr>
          <w:b/>
        </w:rPr>
        <w:t xml:space="preserve">13. </w:t>
      </w:r>
      <w:r>
        <w:t>Shin H, Byeon E, Kim S. Effect of seat surface inclination on respiration and speech production in children with spastic cerebral palsy. J Physiol Anthropol. 2015;34:17.</w:t>
      </w:r>
    </w:p>
    <w:p w14:paraId="318EE06B" w14:textId="25817E30" w:rsidR="00236663" w:rsidRDefault="00000000">
      <w:pPr>
        <w:spacing w:after="180"/>
        <w:ind w:left="440" w:hanging="440"/>
      </w:pPr>
      <w:r>
        <w:rPr>
          <w:b/>
        </w:rPr>
        <w:t xml:space="preserve">14. </w:t>
      </w:r>
      <w:r>
        <w:t>Barks L, et al. Wheelchair positioning and pulmonary function in children with cerebral palsy [trabajo fin de grado]. Florida: University of South Florida; 2007.</w:t>
      </w:r>
    </w:p>
    <w:p w14:paraId="51444482" w14:textId="77777777" w:rsidR="00236663" w:rsidRDefault="00000000">
      <w:pPr>
        <w:spacing w:after="180"/>
        <w:ind w:left="440" w:hanging="440"/>
      </w:pPr>
      <w:r>
        <w:rPr>
          <w:b/>
        </w:rPr>
        <w:t xml:space="preserve">15. </w:t>
      </w:r>
      <w:r>
        <w:t xml:space="preserve">Sarasola Gandariasbeitia K, Zuil Escobar JC. Control postural y manejo de deformidades de cadera en la parálisis cerebral: revisión. Fisioterapia. 2012;34(4):169-175. </w:t>
      </w:r>
      <w:hyperlink r:id="rId8">
        <w:r>
          <w:rPr>
            <w:color w:val="1F4E5F"/>
            <w:sz w:val="19"/>
            <w:u w:val="single"/>
          </w:rPr>
          <w:t>Ver artículo</w:t>
        </w:r>
      </w:hyperlink>
    </w:p>
    <w:p w14:paraId="43050EAF" w14:textId="77777777" w:rsidR="00236663" w:rsidRDefault="00000000">
      <w:pPr>
        <w:spacing w:after="180"/>
        <w:ind w:left="440" w:hanging="440"/>
      </w:pPr>
      <w:r>
        <w:rPr>
          <w:b/>
        </w:rPr>
        <w:t xml:space="preserve">16. </w:t>
      </w:r>
      <w:r>
        <w:t>McNamara L, Casey J. Seat inclinations affect the function of children with cerebral palsy: a review of the effect of different seat inclinations. Disabil Rehabil Assist Technol. 2007;2(6):309-318.</w:t>
      </w:r>
    </w:p>
    <w:p w14:paraId="34113926" w14:textId="77777777" w:rsidR="00236663" w:rsidRDefault="00000000">
      <w:pPr>
        <w:spacing w:after="180"/>
        <w:ind w:left="440" w:hanging="440"/>
      </w:pPr>
      <w:r>
        <w:rPr>
          <w:b/>
        </w:rPr>
        <w:t xml:space="preserve">17. </w:t>
      </w:r>
      <w:r>
        <w:t>Cimolin V, Avellis M, Piccinini L, Corbetta C, Cazzaniga A, Turconi AN, et al. Comparison of two pelvic positioning belt configurations in a pediatric wheelchair. Assist Technol. 2013;25(4):240-246.</w:t>
      </w:r>
    </w:p>
    <w:p w14:paraId="13CA3E06" w14:textId="77777777" w:rsidR="00236663" w:rsidRDefault="00000000">
      <w:pPr>
        <w:spacing w:after="180"/>
        <w:ind w:left="440" w:hanging="440"/>
      </w:pPr>
      <w:r>
        <w:rPr>
          <w:b/>
        </w:rPr>
        <w:t xml:space="preserve">18. </w:t>
      </w:r>
      <w:r>
        <w:t>Lacoste M, Therrien M, Prince F. Stability of children with cerebral palsy in their wheelchair seating: perceptions of parents and therapists. Disabil Rehabil Assist Technol. 2009;4(3):143-150.</w:t>
      </w:r>
    </w:p>
    <w:p w14:paraId="50BA3024" w14:textId="73D2B64D" w:rsidR="00236663" w:rsidRDefault="00000000">
      <w:pPr>
        <w:spacing w:after="180"/>
        <w:ind w:left="440" w:hanging="440"/>
      </w:pPr>
      <w:r>
        <w:rPr>
          <w:b/>
        </w:rPr>
        <w:t xml:space="preserve">19. </w:t>
      </w:r>
      <w:r>
        <w:t>Stickney B, Story M. Controlling the pelvis: a practical guide. En: Canadian Seating and Mobility Conference; 2011; Toronto</w:t>
      </w:r>
    </w:p>
    <w:p w14:paraId="11D5A541" w14:textId="77777777" w:rsidR="00236663" w:rsidRDefault="00000000">
      <w:pPr>
        <w:spacing w:after="180"/>
        <w:ind w:left="440" w:hanging="440"/>
      </w:pPr>
      <w:r>
        <w:rPr>
          <w:b/>
        </w:rPr>
        <w:t xml:space="preserve">20. </w:t>
      </w:r>
      <w:r>
        <w:t>Pountney TE, Mandy A, Green EM, Gard P. Hip subluxation and dislocation in cerebral palsy: a prospective study on the effectiveness of postural management programmes. Physiother Res Int. 2009;14(2):116-127.</w:t>
      </w:r>
    </w:p>
    <w:p w14:paraId="4C316FBA" w14:textId="77777777" w:rsidR="00236663" w:rsidRDefault="00000000">
      <w:pPr>
        <w:spacing w:after="180"/>
        <w:ind w:left="440" w:hanging="440"/>
      </w:pPr>
      <w:r>
        <w:rPr>
          <w:b/>
        </w:rPr>
        <w:t xml:space="preserve">21. </w:t>
      </w:r>
      <w:r>
        <w:t>Pountney T, Mandy A, Green E, Gard P. Management of hip dislocation with postural management. Child Care Health Dev. 2002;28(2):179-185.</w:t>
      </w:r>
    </w:p>
    <w:p w14:paraId="1F98067E" w14:textId="77777777" w:rsidR="00236663" w:rsidRDefault="00000000">
      <w:pPr>
        <w:spacing w:after="180"/>
        <w:ind w:left="440" w:hanging="440"/>
      </w:pPr>
      <w:r>
        <w:rPr>
          <w:b/>
        </w:rPr>
        <w:t xml:space="preserve">22. </w:t>
      </w:r>
      <w:r>
        <w:t>Brogren E, Forssberg H, Hadders-Algra M. Influence of two different sitting positions on postural adjustments in children with spastic diplegia. Dev Med Child Neurol. 2001;43(8):534-546.</w:t>
      </w:r>
    </w:p>
    <w:p w14:paraId="263DD409" w14:textId="77777777" w:rsidR="00236663" w:rsidRDefault="00000000">
      <w:pPr>
        <w:spacing w:after="180"/>
        <w:ind w:left="440" w:hanging="440"/>
      </w:pPr>
      <w:r>
        <w:rPr>
          <w:b/>
        </w:rPr>
        <w:t xml:space="preserve">23. </w:t>
      </w:r>
      <w:r>
        <w:t>McDonald RL, Surtees R. Longitudinal study evaluating a seating system using a sacral pad and knee block for children with cerebral palsy. Disabil Rehabil. 2007;29(13):1041-1047.</w:t>
      </w:r>
    </w:p>
    <w:p w14:paraId="2CFC22F4" w14:textId="75A89105" w:rsidR="00236663" w:rsidRDefault="00000000">
      <w:pPr>
        <w:spacing w:after="180"/>
        <w:ind w:left="440" w:hanging="440"/>
      </w:pPr>
      <w:r>
        <w:rPr>
          <w:b/>
        </w:rPr>
        <w:t xml:space="preserve">24. </w:t>
      </w:r>
      <w:r>
        <w:t xml:space="preserve">Holmes KJ, Michael SM, Thorpe SL, Solomonidis SE. Management of scoliosis with special seating for the non-ambulant spastic cerebral palsy population: a biomechanical study. Clin Biomech. 2003;18(6):480-487. </w:t>
      </w:r>
      <w:hyperlink r:id="rId9">
        <w:r>
          <w:rPr>
            <w:color w:val="1F4E5F"/>
            <w:sz w:val="19"/>
            <w:u w:val="single"/>
          </w:rPr>
          <w:t>Ver PubMed</w:t>
        </w:r>
      </w:hyperlink>
      <w:r>
        <w:rPr>
          <w:i/>
          <w:color w:val="B55E00"/>
          <w:sz w:val="20"/>
        </w:rPr>
        <w:t xml:space="preserve"> </w:t>
      </w:r>
    </w:p>
    <w:p w14:paraId="5FD5C1A1" w14:textId="77777777" w:rsidR="00236663" w:rsidRDefault="00000000">
      <w:pPr>
        <w:spacing w:after="180"/>
        <w:ind w:left="440" w:hanging="440"/>
      </w:pPr>
      <w:r>
        <w:rPr>
          <w:b/>
        </w:rPr>
        <w:lastRenderedPageBreak/>
        <w:t xml:space="preserve">25. </w:t>
      </w:r>
      <w:r>
        <w:t>Costigan FA, Light J. Effect of seated position on upper-extremity access to augmentative communication for children with cerebral palsy: preliminary investigation. Am J Occup Ther. 2010;64(4):596-604.</w:t>
      </w:r>
    </w:p>
    <w:p w14:paraId="26723946" w14:textId="5ED06021" w:rsidR="00236663" w:rsidRDefault="00000000">
      <w:pPr>
        <w:spacing w:after="180"/>
        <w:ind w:left="440" w:hanging="440"/>
      </w:pPr>
      <w:r>
        <w:rPr>
          <w:b/>
        </w:rPr>
        <w:t xml:space="preserve">26. </w:t>
      </w:r>
      <w:r>
        <w:t xml:space="preserve">Valle Gallego I. Infórmate sobre sillas de ruedas infantiles [Internet]. 1.ª ed. Madrid: CEAPAT-IMSERSO. </w:t>
      </w:r>
    </w:p>
    <w:p w14:paraId="070BE89B" w14:textId="7B04C0CE" w:rsidR="00236663" w:rsidRDefault="00000000">
      <w:pPr>
        <w:spacing w:after="180"/>
        <w:ind w:left="440" w:hanging="440"/>
      </w:pPr>
      <w:r>
        <w:rPr>
          <w:b/>
        </w:rPr>
        <w:t xml:space="preserve">27. </w:t>
      </w:r>
      <w:r>
        <w:t>Schewtschik AC, Santiago de Oliveira E, Vasconcelos Moreira I, Gonçalves Ribas C, Cunha Loureiro AP. Construction of an artifact to the suitability of sitting posture in children with cerebral palsy and multiple disabilities. Disabil Rehabil Assist Technol. 2013;8(6):502-506</w:t>
      </w:r>
    </w:p>
    <w:p w14:paraId="6EE7424B" w14:textId="0EBBAF43" w:rsidR="00236663" w:rsidRDefault="00000000">
      <w:pPr>
        <w:spacing w:after="180"/>
        <w:ind w:left="440" w:hanging="440"/>
      </w:pPr>
      <w:r>
        <w:rPr>
          <w:b/>
        </w:rPr>
        <w:t xml:space="preserve">28. </w:t>
      </w:r>
      <w:r>
        <w:t>Cochet H, Allamargot T, Bertin A. Concepto Bobath y rehabilitación en neurología. EMC - Kinesiterapia - Medicina Física. 2000;21(2):1-15.</w:t>
      </w:r>
      <w:r>
        <w:rPr>
          <w:i/>
          <w:color w:val="B55E00"/>
          <w:sz w:val="20"/>
        </w:rPr>
        <w:t xml:space="preserve"> </w:t>
      </w:r>
    </w:p>
    <w:p w14:paraId="38E73C18" w14:textId="77777777" w:rsidR="00236663" w:rsidRDefault="00000000">
      <w:pPr>
        <w:spacing w:after="180"/>
        <w:ind w:left="440" w:hanging="440"/>
      </w:pPr>
      <w:r>
        <w:rPr>
          <w:b/>
        </w:rPr>
        <w:t xml:space="preserve">29. </w:t>
      </w:r>
      <w:r>
        <w:t>Sotos Portalés C. Sillas de ruedas. En: Sánchez Blanco I, Ferrero Méndez A, Aguilar Naranjo JJ, editores. Manual SERMEF de Rehabilitación y Medicina Física. 1.ª ed. digital. Madrid: Editorial Médica Panamericana; 2018. p.245-246, 251.</w:t>
      </w:r>
    </w:p>
    <w:p w14:paraId="19F94082" w14:textId="513F5443" w:rsidR="00236663" w:rsidRDefault="00000000">
      <w:pPr>
        <w:spacing w:after="180"/>
        <w:ind w:left="440" w:hanging="440"/>
      </w:pPr>
      <w:r>
        <w:rPr>
          <w:b/>
        </w:rPr>
        <w:t xml:space="preserve">30. </w:t>
      </w:r>
      <w:r>
        <w:t>Arroyo Riaño MO, Espinosa Jorge J. Parálisis cerebral. En: Redondo García MA, Conejero Casares JA, Beltrán Recio, et al, editores. Rehabilitación infantil (SERMEF). 1.ª ed. digital. Madrid: Editorial Médica Panamericana; 2012. p.145-146.</w:t>
      </w:r>
      <w:r>
        <w:rPr>
          <w:i/>
          <w:color w:val="B55E00"/>
          <w:sz w:val="20"/>
        </w:rPr>
        <w:t xml:space="preserve"> </w:t>
      </w:r>
    </w:p>
    <w:p w14:paraId="0A2C8243" w14:textId="77777777" w:rsidR="00236663" w:rsidRDefault="00000000">
      <w:pPr>
        <w:spacing w:after="180"/>
        <w:ind w:left="440" w:hanging="440"/>
      </w:pPr>
      <w:r>
        <w:rPr>
          <w:b/>
        </w:rPr>
        <w:t xml:space="preserve">31. </w:t>
      </w:r>
      <w:r>
        <w:t>Cantu CO. Wheelchair positioning: foundation in wheelchair selection. Except Parent. 2004;34(5):33-35.</w:t>
      </w:r>
    </w:p>
    <w:p w14:paraId="688DFF4E" w14:textId="77777777" w:rsidR="00236663" w:rsidRDefault="00000000">
      <w:pPr>
        <w:spacing w:after="180"/>
        <w:ind w:left="440" w:hanging="440"/>
      </w:pPr>
      <w:r>
        <w:rPr>
          <w:b/>
        </w:rPr>
        <w:t xml:space="preserve">32. </w:t>
      </w:r>
      <w:r>
        <w:t>Hammel J, Angelo J. Technology competencies for occupational therapy practitioners. Assist Technol. 1996;8(1):34-42.</w:t>
      </w:r>
    </w:p>
    <w:p w14:paraId="2A8851AB" w14:textId="05906DA7" w:rsidR="00236663" w:rsidRDefault="00000000">
      <w:pPr>
        <w:spacing w:after="180"/>
        <w:ind w:left="440" w:hanging="440"/>
      </w:pPr>
      <w:r>
        <w:rPr>
          <w:b/>
        </w:rPr>
        <w:t xml:space="preserve">33. </w:t>
      </w:r>
      <w:r>
        <w:t>Labrador Toribio C, Dimbwadyo Terrer I, Carpena Niño MG, Cano de la Cuerda R. Elementos y tipos de sillas de ruedas. En: Nuevas tecnologías de neurorrehabilitación: aplicaciones diagnósticas y terapéuticas. 1.ª ed. Madrid: Editorial Médica Panamericana; 2018. p.165-169.</w:t>
      </w:r>
      <w:r>
        <w:rPr>
          <w:i/>
          <w:color w:val="B55E00"/>
          <w:sz w:val="20"/>
        </w:rPr>
        <w:t xml:space="preserve"> </w:t>
      </w:r>
    </w:p>
    <w:p w14:paraId="4AB1CA0A" w14:textId="10CB54F2" w:rsidR="00236663" w:rsidRDefault="00000000">
      <w:pPr>
        <w:spacing w:after="180"/>
        <w:ind w:left="440" w:hanging="440"/>
      </w:pPr>
      <w:r>
        <w:rPr>
          <w:b/>
        </w:rPr>
        <w:t xml:space="preserve">34. </w:t>
      </w:r>
      <w:r>
        <w:t>Mulcahy CM, Pountney TE, Nelham RL, Green EM, Billington GD. Adaptive seating for the motor handicapped: problems, a solution, assessment and prescription. Physiotherapy. 1988;74(11):531-536</w:t>
      </w:r>
    </w:p>
    <w:p w14:paraId="2C64D83A" w14:textId="3A10134D" w:rsidR="00236663" w:rsidRDefault="00000000" w:rsidP="00F423C5">
      <w:pPr>
        <w:pStyle w:val="Ttulo2"/>
        <w:rPr>
          <w:rFonts w:ascii="Arial" w:hAnsi="Arial"/>
          <w:color w:val="2F6F68"/>
        </w:rPr>
      </w:pPr>
      <w:r>
        <w:rPr>
          <w:rFonts w:ascii="Arial" w:hAnsi="Arial"/>
          <w:color w:val="2F6F68"/>
        </w:rPr>
        <w:t xml:space="preserve">Recursos web y </w:t>
      </w:r>
      <w:proofErr w:type="spellStart"/>
      <w:r>
        <w:rPr>
          <w:rFonts w:ascii="Arial" w:hAnsi="Arial"/>
          <w:color w:val="2F6F68"/>
        </w:rPr>
        <w:t>catálogos</w:t>
      </w:r>
      <w:proofErr w:type="spellEnd"/>
      <w:r>
        <w:rPr>
          <w:rFonts w:ascii="Arial" w:hAnsi="Arial"/>
          <w:color w:val="2F6F68"/>
        </w:rPr>
        <w:t xml:space="preserve"> </w:t>
      </w:r>
      <w:proofErr w:type="spellStart"/>
      <w:r>
        <w:rPr>
          <w:rFonts w:ascii="Arial" w:hAnsi="Arial"/>
          <w:color w:val="2F6F68"/>
        </w:rPr>
        <w:t>comerciales</w:t>
      </w:r>
      <w:proofErr w:type="spellEnd"/>
    </w:p>
    <w:p w14:paraId="32FB43C3" w14:textId="77777777" w:rsidR="00F423C5" w:rsidRPr="00F423C5" w:rsidRDefault="00F423C5" w:rsidP="00F423C5"/>
    <w:p w14:paraId="33C80023" w14:textId="77777777" w:rsidR="00236663" w:rsidRDefault="00000000">
      <w:pPr>
        <w:spacing w:after="180"/>
        <w:ind w:left="440" w:hanging="440"/>
      </w:pPr>
      <w:r>
        <w:rPr>
          <w:b/>
        </w:rPr>
        <w:t xml:space="preserve">35. </w:t>
      </w:r>
      <w:r>
        <w:t xml:space="preserve">Sunrise Medical [Internet]. Vizcaya: Sunrise Medical; 2020 [consultado 26 mar 2020]. </w:t>
      </w:r>
      <w:hyperlink r:id="rId10">
        <w:r>
          <w:rPr>
            <w:color w:val="1F4E5F"/>
            <w:sz w:val="19"/>
            <w:u w:val="single"/>
          </w:rPr>
          <w:t>Ver página</w:t>
        </w:r>
      </w:hyperlink>
    </w:p>
    <w:p w14:paraId="1ABA1B1B" w14:textId="77777777" w:rsidR="00236663" w:rsidRDefault="00000000">
      <w:pPr>
        <w:spacing w:after="180"/>
        <w:ind w:left="440" w:hanging="440"/>
      </w:pPr>
      <w:r>
        <w:rPr>
          <w:b/>
        </w:rPr>
        <w:t xml:space="preserve">36. </w:t>
      </w:r>
      <w:r>
        <w:t xml:space="preserve">Ortopediaencasa [Internet]. Valencia: Ortopediaencasa; 2020 [consultado 27 mar 2020]. </w:t>
      </w:r>
      <w:hyperlink r:id="rId11">
        <w:r>
          <w:rPr>
            <w:color w:val="1F4E5F"/>
            <w:sz w:val="19"/>
            <w:u w:val="single"/>
          </w:rPr>
          <w:t>Ver página</w:t>
        </w:r>
      </w:hyperlink>
    </w:p>
    <w:p w14:paraId="70AE8CDC" w14:textId="77777777" w:rsidR="00236663" w:rsidRDefault="00000000">
      <w:pPr>
        <w:spacing w:after="180"/>
        <w:ind w:left="440" w:hanging="440"/>
      </w:pPr>
      <w:r>
        <w:rPr>
          <w:b/>
        </w:rPr>
        <w:lastRenderedPageBreak/>
        <w:t xml:space="preserve">37. </w:t>
      </w:r>
      <w:r>
        <w:t xml:space="preserve">Fabricaciones Ortopédicas Albacete (Forta) [Internet]. Albacete: Forta; 2020 [consultado 27 mar 2020]. </w:t>
      </w:r>
      <w:hyperlink r:id="rId12">
        <w:r>
          <w:rPr>
            <w:color w:val="1F4E5F"/>
            <w:sz w:val="19"/>
            <w:u w:val="single"/>
          </w:rPr>
          <w:t>Ver página</w:t>
        </w:r>
      </w:hyperlink>
    </w:p>
    <w:p w14:paraId="735EBAA5" w14:textId="77777777" w:rsidR="00236663" w:rsidRDefault="00000000">
      <w:pPr>
        <w:spacing w:after="180"/>
        <w:ind w:left="440" w:hanging="440"/>
      </w:pPr>
      <w:r>
        <w:rPr>
          <w:b/>
        </w:rPr>
        <w:t xml:space="preserve">38. </w:t>
      </w:r>
      <w:r>
        <w:t xml:space="preserve">Eurodiscap [Internet]. Málaga: Eurodiscap; 2019 [consultado 27 mar 2020]. </w:t>
      </w:r>
      <w:hyperlink r:id="rId13">
        <w:r>
          <w:rPr>
            <w:color w:val="1F4E5F"/>
            <w:sz w:val="19"/>
            <w:u w:val="single"/>
          </w:rPr>
          <w:t>Ver catálogo</w:t>
        </w:r>
      </w:hyperlink>
    </w:p>
    <w:p w14:paraId="142B4D58" w14:textId="77777777" w:rsidR="00236663" w:rsidRDefault="00000000">
      <w:pPr>
        <w:spacing w:after="180"/>
        <w:ind w:left="440" w:hanging="440"/>
      </w:pPr>
      <w:r>
        <w:rPr>
          <w:b/>
        </w:rPr>
        <w:t xml:space="preserve">39. </w:t>
      </w:r>
      <w:r>
        <w:t xml:space="preserve">Medicalexpo [Internet]. Marsella: Medicalexpo; 2020 [consultado 27 mar 2020]. </w:t>
      </w:r>
      <w:hyperlink r:id="rId14">
        <w:r>
          <w:rPr>
            <w:color w:val="1F4E5F"/>
            <w:sz w:val="19"/>
            <w:u w:val="single"/>
          </w:rPr>
          <w:t>Ver página</w:t>
        </w:r>
      </w:hyperlink>
    </w:p>
    <w:p w14:paraId="5C42F71E" w14:textId="77777777" w:rsidR="00236663" w:rsidRDefault="00000000">
      <w:pPr>
        <w:spacing w:after="180"/>
        <w:ind w:left="440" w:hanging="440"/>
      </w:pPr>
      <w:r>
        <w:rPr>
          <w:b/>
        </w:rPr>
        <w:t xml:space="preserve">40. </w:t>
      </w:r>
      <w:r>
        <w:t xml:space="preserve">Ortopedia MIMAS [Internet]. Sevilla: Ortopedia MIMAS; 2019 [consultado 27 mar 2020]. </w:t>
      </w:r>
      <w:hyperlink r:id="rId15">
        <w:r>
          <w:rPr>
            <w:color w:val="1F4E5F"/>
            <w:sz w:val="19"/>
            <w:u w:val="single"/>
          </w:rPr>
          <w:t>Ver página</w:t>
        </w:r>
      </w:hyperlink>
    </w:p>
    <w:p w14:paraId="100F250D" w14:textId="77777777" w:rsidR="00236663" w:rsidRDefault="00000000">
      <w:pPr>
        <w:spacing w:after="180"/>
        <w:ind w:left="440" w:hanging="440"/>
      </w:pPr>
      <w:r>
        <w:rPr>
          <w:b/>
        </w:rPr>
        <w:t xml:space="preserve">41. </w:t>
      </w:r>
      <w:r>
        <w:t xml:space="preserve">Rehagirona [Internet]. Girona: Rehagirona; 2019 [consultado 27 mar 2020]. </w:t>
      </w:r>
      <w:hyperlink r:id="rId16">
        <w:r>
          <w:rPr>
            <w:color w:val="1F4E5F"/>
            <w:sz w:val="19"/>
            <w:u w:val="single"/>
          </w:rPr>
          <w:t>Ver página</w:t>
        </w:r>
      </w:hyperlink>
    </w:p>
    <w:p w14:paraId="300D0D76" w14:textId="77777777" w:rsidR="00236663" w:rsidRDefault="00000000">
      <w:pPr>
        <w:spacing w:after="180"/>
        <w:ind w:left="440" w:hanging="440"/>
      </w:pPr>
      <w:r>
        <w:rPr>
          <w:b/>
        </w:rPr>
        <w:t xml:space="preserve">42. </w:t>
      </w:r>
      <w:r>
        <w:t xml:space="preserve">AyudasDinámicas [Internet]. Barcelona: AyudasDinámicas; 2020 [consultado 27 mar 2020]. </w:t>
      </w:r>
      <w:hyperlink r:id="rId17">
        <w:r>
          <w:rPr>
            <w:color w:val="1F4E5F"/>
            <w:sz w:val="19"/>
            <w:u w:val="single"/>
          </w:rPr>
          <w:t>Ver página</w:t>
        </w:r>
      </w:hyperlink>
    </w:p>
    <w:p w14:paraId="7FCA2202" w14:textId="77777777" w:rsidR="00236663" w:rsidRDefault="00000000">
      <w:pPr>
        <w:spacing w:after="180"/>
        <w:ind w:left="440" w:hanging="440"/>
      </w:pPr>
      <w:r>
        <w:rPr>
          <w:b/>
        </w:rPr>
        <w:t xml:space="preserve">43. </w:t>
      </w:r>
      <w:r>
        <w:t xml:space="preserve">Ortoweb Medical [Internet]. Zaragoza: Ortoweb Medical; 2020 [consultado 27 mar 2020]. </w:t>
      </w:r>
      <w:hyperlink r:id="rId18">
        <w:r>
          <w:rPr>
            <w:color w:val="1F4E5F"/>
            <w:sz w:val="19"/>
            <w:u w:val="single"/>
          </w:rPr>
          <w:t>Ver catálogo</w:t>
        </w:r>
      </w:hyperlink>
    </w:p>
    <w:sectPr w:rsidR="0023666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78103505">
    <w:abstractNumId w:val="8"/>
  </w:num>
  <w:num w:numId="2" w16cid:durableId="1271010507">
    <w:abstractNumId w:val="6"/>
  </w:num>
  <w:num w:numId="3" w16cid:durableId="528108690">
    <w:abstractNumId w:val="5"/>
  </w:num>
  <w:num w:numId="4" w16cid:durableId="644817084">
    <w:abstractNumId w:val="4"/>
  </w:num>
  <w:num w:numId="5" w16cid:durableId="1207256628">
    <w:abstractNumId w:val="7"/>
  </w:num>
  <w:num w:numId="6" w16cid:durableId="1251887440">
    <w:abstractNumId w:val="3"/>
  </w:num>
  <w:num w:numId="7" w16cid:durableId="530191763">
    <w:abstractNumId w:val="2"/>
  </w:num>
  <w:num w:numId="8" w16cid:durableId="2032877518">
    <w:abstractNumId w:val="1"/>
  </w:num>
  <w:num w:numId="9" w16cid:durableId="136598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6663"/>
    <w:rsid w:val="0029639D"/>
    <w:rsid w:val="00326F90"/>
    <w:rsid w:val="003930D6"/>
    <w:rsid w:val="00AA1D8D"/>
    <w:rsid w:val="00B47730"/>
    <w:rsid w:val="00CB0664"/>
    <w:rsid w:val="00F423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CDF4B0"/>
  <w14:defaultImageDpi w14:val="300"/>
  <w15:docId w15:val="{60D2AD0D-114B-495D-A9E4-F79FF3AF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sevier.es/es-revista-fisioterapia-146-articulo-control-postural-manejo-deformidades-cadera-90142529" TargetMode="External"/><Relationship Id="rId13" Type="http://schemas.openxmlformats.org/officeDocument/2006/relationships/hyperlink" Target="http://eurodiscap.es/wp-content/uploads/2013/12/catalogoreposacabezaswhitmyer.pdf" TargetMode="External"/><Relationship Id="rId18" Type="http://schemas.openxmlformats.org/officeDocument/2006/relationships/hyperlink" Target="https://www.ortoweb.com/media/useruploads/files/catalogo-soportes-para-posicionamiento-de-pies-y-tobillos-jay.pdf" TargetMode="External"/><Relationship Id="rId3" Type="http://schemas.openxmlformats.org/officeDocument/2006/relationships/styles" Target="styles.xml"/><Relationship Id="rId7" Type="http://schemas.openxmlformats.org/officeDocument/2006/relationships/hyperlink" Target="https://www.elsevier.es/es-revista-neurologia-295-articulo-paralisis-cerebral-infantil-el-uso-S0213485315001516" TargetMode="External"/><Relationship Id="rId12" Type="http://schemas.openxmlformats.org/officeDocument/2006/relationships/hyperlink" Target="https://www.fortasl.es/es/sillas-de-ruedas/accesorios/reposacabezas.php" TargetMode="External"/><Relationship Id="rId17" Type="http://schemas.openxmlformats.org/officeDocument/2006/relationships/hyperlink" Target="https://www.ayudasdinamicas.com/posicionador-de-brazo-para-silla/" TargetMode="External"/><Relationship Id="rId2" Type="http://schemas.openxmlformats.org/officeDocument/2006/relationships/numbering" Target="numbering.xml"/><Relationship Id="rId16" Type="http://schemas.openxmlformats.org/officeDocument/2006/relationships/hyperlink" Target="https://www.rehagirona.com/producto/apoyabrazos-hemiplejic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aeped.es/sites/default/files/documentos/36-pci.pdf" TargetMode="External"/><Relationship Id="rId11" Type="http://schemas.openxmlformats.org/officeDocument/2006/relationships/hyperlink" Target="https://ortopediaencasa.com/sujeciones-para-sillas-de-ruedas-300" TargetMode="External"/><Relationship Id="rId5" Type="http://schemas.openxmlformats.org/officeDocument/2006/relationships/webSettings" Target="webSettings.xml"/><Relationship Id="rId15" Type="http://schemas.openxmlformats.org/officeDocument/2006/relationships/hyperlink" Target="https://www.ortopediamimas.com/movilidad/repuestos-y-accesorios-movilidad/5515-almohadillado-reposabrazo-en-forma-de-p.html" TargetMode="External"/><Relationship Id="rId10" Type="http://schemas.openxmlformats.org/officeDocument/2006/relationships/hyperlink" Target="https://www.sunrisemedical.es/sillas-de-ruedas/zippie/sillas-pc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bmed.ncbi.nlm.nih.gov/12828895/" TargetMode="External"/><Relationship Id="rId14" Type="http://schemas.openxmlformats.org/officeDocument/2006/relationships/hyperlink" Target="https://www.medicalexpo.es/prod/jcm-seating/product-84401-7341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1328</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CAROLINA</cp:lastModifiedBy>
  <cp:revision>2</cp:revision>
  <dcterms:created xsi:type="dcterms:W3CDTF">2013-12-23T23:15:00Z</dcterms:created>
  <dcterms:modified xsi:type="dcterms:W3CDTF">2026-07-09T13:49:00Z</dcterms:modified>
  <cp:category/>
</cp:coreProperties>
</file>